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BF2118F" w14:textId="1D63195C" w:rsidR="00F861A6" w:rsidRDefault="00F861A6" w:rsidP="00D326B4">
      <w:pPr>
        <w:ind w:left="-360" w:right="-360"/>
        <w:rPr>
          <w:rFonts w:ascii="Arial" w:hAnsi="Arial" w:cs="Arial"/>
          <w:b/>
        </w:rPr>
      </w:pPr>
      <w:r>
        <w:rPr>
          <w:rFonts w:ascii="Arial" w:hAnsi="Arial" w:cs="Arial"/>
          <w:b/>
        </w:rPr>
        <w:t>Interpretati</w:t>
      </w:r>
      <w:r w:rsidR="00247EDA">
        <w:rPr>
          <w:rFonts w:ascii="Arial" w:hAnsi="Arial" w:cs="Arial"/>
          <w:b/>
        </w:rPr>
        <w:t>on</w:t>
      </w:r>
      <w:r w:rsidR="00345DD0">
        <w:rPr>
          <w:rFonts w:ascii="Arial" w:hAnsi="Arial" w:cs="Arial"/>
          <w:b/>
        </w:rPr>
        <w:tab/>
      </w:r>
      <w:r w:rsidR="00B2291B">
        <w:rPr>
          <w:rFonts w:ascii="Arial" w:hAnsi="Arial" w:cs="Arial"/>
          <w:b/>
        </w:rPr>
        <w:t>“</w:t>
      </w:r>
      <w:r w:rsidR="009F4746">
        <w:rPr>
          <w:rFonts w:ascii="Arial" w:hAnsi="Arial" w:cs="Arial"/>
          <w:b/>
        </w:rPr>
        <w:t xml:space="preserve">Independently </w:t>
      </w:r>
      <w:r w:rsidR="00B2291B">
        <w:rPr>
          <w:rFonts w:ascii="Arial" w:hAnsi="Arial" w:cs="Arial"/>
          <w:b/>
        </w:rPr>
        <w:t>Confirmed”</w:t>
      </w:r>
      <w:r w:rsidR="009F4746">
        <w:rPr>
          <w:rFonts w:ascii="Arial" w:hAnsi="Arial" w:cs="Arial"/>
          <w:b/>
        </w:rPr>
        <w:t xml:space="preserve"> </w:t>
      </w:r>
      <w:r w:rsidR="00B2291B">
        <w:rPr>
          <w:rFonts w:ascii="Arial" w:hAnsi="Arial" w:cs="Arial"/>
          <w:b/>
        </w:rPr>
        <w:t>Definition</w:t>
      </w:r>
    </w:p>
    <w:p w14:paraId="20987F35" w14:textId="77777777" w:rsidR="00F861A6" w:rsidRDefault="00F861A6" w:rsidP="00247EDA">
      <w:pPr>
        <w:ind w:right="-360"/>
        <w:rPr>
          <w:rFonts w:ascii="Arial" w:hAnsi="Arial" w:cs="Arial"/>
          <w:b/>
        </w:rPr>
      </w:pPr>
    </w:p>
    <w:p w14:paraId="70B2E046" w14:textId="27F109C7" w:rsidR="00247EDA" w:rsidRDefault="00F861A6" w:rsidP="00D326B4">
      <w:pPr>
        <w:ind w:left="-360" w:right="-360"/>
        <w:rPr>
          <w:rFonts w:ascii="Arial" w:hAnsi="Arial" w:cs="Arial"/>
          <w:b/>
        </w:rPr>
      </w:pPr>
      <w:r>
        <w:rPr>
          <w:rFonts w:ascii="Arial" w:hAnsi="Arial" w:cs="Arial"/>
          <w:b/>
        </w:rPr>
        <w:t>Designation:</w:t>
      </w:r>
      <w:r>
        <w:rPr>
          <w:rFonts w:ascii="Arial" w:hAnsi="Arial" w:cs="Arial"/>
          <w:b/>
        </w:rPr>
        <w:tab/>
      </w:r>
      <w:r w:rsidR="006C0697">
        <w:rPr>
          <w:rFonts w:ascii="Arial" w:hAnsi="Arial" w:cs="Arial"/>
          <w:b/>
        </w:rPr>
        <w:t>MINHERS</w:t>
      </w:r>
      <w:r w:rsidR="00E7327D">
        <w:rPr>
          <w:rFonts w:ascii="Arial" w:hAnsi="Arial" w:cs="Arial"/>
          <w:b/>
        </w:rPr>
        <w:t>-</w:t>
      </w:r>
      <w:r w:rsidR="006C0697">
        <w:rPr>
          <w:rFonts w:ascii="Arial" w:hAnsi="Arial" w:cs="Arial"/>
          <w:b/>
        </w:rPr>
        <w:t>2019</w:t>
      </w:r>
      <w:r w:rsidR="00C60DF6">
        <w:rPr>
          <w:rFonts w:ascii="Arial" w:hAnsi="Arial" w:cs="Arial"/>
          <w:b/>
        </w:rPr>
        <w:t>-</w:t>
      </w:r>
      <w:r w:rsidR="006C0697">
        <w:rPr>
          <w:rFonts w:ascii="Arial" w:hAnsi="Arial" w:cs="Arial"/>
          <w:b/>
        </w:rPr>
        <w:t>01</w:t>
      </w:r>
    </w:p>
    <w:p w14:paraId="6510EF42" w14:textId="77777777" w:rsidR="006C0697" w:rsidRDefault="006C0697" w:rsidP="00D326B4">
      <w:pPr>
        <w:ind w:left="-360" w:right="-360"/>
        <w:rPr>
          <w:rFonts w:ascii="Arial" w:hAnsi="Arial" w:cs="Arial"/>
          <w:b/>
        </w:rPr>
      </w:pPr>
    </w:p>
    <w:p w14:paraId="1952DFBC" w14:textId="4B7E71F8" w:rsidR="00247EDA" w:rsidRPr="00F861A6" w:rsidRDefault="00247EDA" w:rsidP="00B31EEC">
      <w:pPr>
        <w:ind w:left="1440" w:right="-360" w:hanging="1800"/>
        <w:rPr>
          <w:rFonts w:ascii="Arial" w:hAnsi="Arial" w:cs="Arial"/>
          <w:i/>
        </w:rPr>
      </w:pPr>
      <w:r w:rsidRPr="00247EDA">
        <w:rPr>
          <w:rFonts w:ascii="Arial" w:hAnsi="Arial" w:cs="Arial"/>
          <w:b/>
        </w:rPr>
        <w:t>Approved:</w:t>
      </w:r>
      <w:r>
        <w:rPr>
          <w:rFonts w:ascii="Arial" w:hAnsi="Arial" w:cs="Arial"/>
        </w:rPr>
        <w:tab/>
      </w:r>
      <w:r>
        <w:rPr>
          <w:rFonts w:ascii="Arial" w:hAnsi="Arial" w:cs="Arial"/>
          <w:i/>
        </w:rPr>
        <w:t xml:space="preserve">(date </w:t>
      </w:r>
      <w:proofErr w:type="gramStart"/>
      <w:r>
        <w:rPr>
          <w:rFonts w:ascii="Arial" w:hAnsi="Arial" w:cs="Arial"/>
          <w:i/>
        </w:rPr>
        <w:t>approved</w:t>
      </w:r>
      <w:r>
        <w:rPr>
          <w:rFonts w:ascii="Arial" w:hAnsi="Arial" w:cs="Arial"/>
        </w:rPr>
        <w:t xml:space="preserve"> )</w:t>
      </w:r>
      <w:proofErr w:type="gramEnd"/>
      <w:r>
        <w:rPr>
          <w:rFonts w:ascii="Arial" w:hAnsi="Arial" w:cs="Arial"/>
        </w:rPr>
        <w:t xml:space="preserve"> </w:t>
      </w:r>
      <w:r w:rsidRPr="00247EDA">
        <w:rPr>
          <w:rFonts w:ascii="Arial" w:hAnsi="Arial" w:cs="Arial"/>
          <w:b/>
        </w:rPr>
        <w:t>by SDC</w:t>
      </w:r>
      <w:r w:rsidR="00C60DF6">
        <w:rPr>
          <w:rFonts w:ascii="Arial" w:hAnsi="Arial" w:cs="Arial"/>
        </w:rPr>
        <w:t xml:space="preserve"> </w:t>
      </w:r>
      <w:r w:rsidR="00B2291B">
        <w:rPr>
          <w:rFonts w:ascii="Arial" w:hAnsi="Arial" w:cs="Arial"/>
          <w:b/>
        </w:rPr>
        <w:t>9</w:t>
      </w:r>
      <w:r w:rsidR="00C60DF6">
        <w:rPr>
          <w:rFonts w:ascii="Arial" w:hAnsi="Arial" w:cs="Arial"/>
          <w:b/>
        </w:rPr>
        <w:t>00</w:t>
      </w:r>
    </w:p>
    <w:p w14:paraId="1B5DDDFB" w14:textId="77777777" w:rsidR="00D326B4" w:rsidRDefault="00D326B4" w:rsidP="00D326B4">
      <w:pPr>
        <w:ind w:left="-360" w:right="-360"/>
        <w:rPr>
          <w:rFonts w:ascii="Arial" w:hAnsi="Arial" w:cs="Arial"/>
          <w:b/>
        </w:rPr>
      </w:pPr>
    </w:p>
    <w:p w14:paraId="7B199FE0" w14:textId="77777777" w:rsidR="00D326B4" w:rsidRPr="00247EDA" w:rsidRDefault="00D326B4" w:rsidP="00D326B4">
      <w:pPr>
        <w:ind w:left="-360" w:right="-360"/>
        <w:rPr>
          <w:rFonts w:ascii="Arial" w:hAnsi="Arial" w:cs="Arial"/>
          <w:i/>
        </w:rPr>
      </w:pPr>
      <w:r>
        <w:rPr>
          <w:rFonts w:ascii="Arial" w:hAnsi="Arial" w:cs="Arial"/>
          <w:b/>
        </w:rPr>
        <w:t>Effective Date:</w:t>
      </w:r>
      <w:r>
        <w:rPr>
          <w:rFonts w:ascii="Arial" w:hAnsi="Arial" w:cs="Arial"/>
          <w:b/>
        </w:rPr>
        <w:tab/>
      </w:r>
      <w:r w:rsidR="00247EDA">
        <w:rPr>
          <w:rFonts w:ascii="Arial" w:hAnsi="Arial" w:cs="Arial"/>
          <w:i/>
        </w:rPr>
        <w:t>(no earlier than 30 days from approval)</w:t>
      </w:r>
    </w:p>
    <w:p w14:paraId="21174F56" w14:textId="77777777" w:rsidR="00D326B4" w:rsidRDefault="00D326B4" w:rsidP="00D326B4">
      <w:pPr>
        <w:ind w:left="-360" w:right="-360"/>
        <w:rPr>
          <w:rFonts w:ascii="Arial" w:hAnsi="Arial" w:cs="Arial"/>
          <w:b/>
        </w:rPr>
      </w:pPr>
    </w:p>
    <w:p w14:paraId="164B4C91" w14:textId="7FA5A34D" w:rsidR="00D326B4" w:rsidRPr="00247EDA" w:rsidRDefault="00D326B4" w:rsidP="00D326B4">
      <w:pPr>
        <w:ind w:left="-360" w:right="-360"/>
        <w:rPr>
          <w:rFonts w:ascii="Arial" w:hAnsi="Arial" w:cs="Arial"/>
          <w:i/>
        </w:rPr>
      </w:pPr>
      <w:r>
        <w:rPr>
          <w:rFonts w:ascii="Arial" w:hAnsi="Arial" w:cs="Arial"/>
          <w:b/>
        </w:rPr>
        <w:t>Proponent:</w:t>
      </w:r>
      <w:r w:rsidR="00F861A6">
        <w:rPr>
          <w:rFonts w:ascii="Arial" w:hAnsi="Arial" w:cs="Arial"/>
          <w:b/>
        </w:rPr>
        <w:tab/>
      </w:r>
      <w:r w:rsidR="008E4818" w:rsidRPr="006C0697">
        <w:rPr>
          <w:rFonts w:ascii="Arial" w:hAnsi="Arial" w:cs="Arial"/>
        </w:rPr>
        <w:t>RESNET Staff</w:t>
      </w:r>
    </w:p>
    <w:p w14:paraId="61C52499" w14:textId="77777777" w:rsidR="00D326B4" w:rsidRDefault="00D326B4" w:rsidP="00D326B4">
      <w:pPr>
        <w:ind w:left="-360" w:right="-360"/>
        <w:rPr>
          <w:rFonts w:ascii="Arial" w:hAnsi="Arial" w:cs="Arial"/>
          <w:b/>
        </w:rPr>
      </w:pPr>
    </w:p>
    <w:p w14:paraId="6319FE30" w14:textId="1081E053" w:rsidR="00F861A6" w:rsidRDefault="00D326B4" w:rsidP="00D326B4">
      <w:pPr>
        <w:ind w:left="-360" w:right="-360"/>
        <w:rPr>
          <w:rFonts w:ascii="Arial" w:hAnsi="Arial" w:cs="Arial"/>
          <w:i/>
        </w:rPr>
      </w:pPr>
      <w:r>
        <w:rPr>
          <w:rFonts w:ascii="Arial" w:hAnsi="Arial" w:cs="Arial"/>
          <w:b/>
        </w:rPr>
        <w:t>Applies to:</w:t>
      </w:r>
      <w:r w:rsidR="009133A4">
        <w:rPr>
          <w:rFonts w:ascii="Arial" w:hAnsi="Arial" w:cs="Arial"/>
          <w:b/>
        </w:rPr>
        <w:tab/>
      </w:r>
      <w:r w:rsidR="00B2291B" w:rsidRPr="006C0697">
        <w:rPr>
          <w:rFonts w:ascii="Arial" w:hAnsi="Arial" w:cs="Arial"/>
        </w:rPr>
        <w:t>MINHERS</w:t>
      </w:r>
      <w:r w:rsidR="006C0697" w:rsidRPr="006C0697">
        <w:rPr>
          <w:rFonts w:ascii="Arial" w:hAnsi="Arial" w:cs="Arial"/>
        </w:rPr>
        <w:t xml:space="preserve"> </w:t>
      </w:r>
      <w:r w:rsidR="006C0697" w:rsidRPr="004801AA">
        <w:rPr>
          <w:rFonts w:ascii="Arial" w:hAnsi="Arial" w:cs="Arial"/>
        </w:rPr>
        <w:t>section 903.4.2.5</w:t>
      </w:r>
    </w:p>
    <w:p w14:paraId="26717161" w14:textId="69175972" w:rsidR="00345DD0" w:rsidRDefault="00345DD0" w:rsidP="00D326B4">
      <w:pPr>
        <w:ind w:left="-360" w:right="-360"/>
        <w:rPr>
          <w:rFonts w:ascii="Arial" w:hAnsi="Arial" w:cs="Arial"/>
          <w:i/>
        </w:rPr>
      </w:pPr>
    </w:p>
    <w:p w14:paraId="3FCF67FF" w14:textId="71B60A35" w:rsidR="00345DD0" w:rsidRDefault="00345DD0" w:rsidP="00D326B4">
      <w:pPr>
        <w:ind w:left="-360" w:right="-360"/>
        <w:rPr>
          <w:rFonts w:ascii="Arial" w:hAnsi="Arial" w:cs="Arial"/>
          <w:b/>
        </w:rPr>
      </w:pPr>
      <w:r>
        <w:rPr>
          <w:rFonts w:ascii="Arial" w:hAnsi="Arial" w:cs="Arial"/>
          <w:b/>
        </w:rPr>
        <w:t>Issue:</w:t>
      </w:r>
    </w:p>
    <w:p w14:paraId="6FB2769B" w14:textId="2C7D131E" w:rsidR="00345DD0" w:rsidRDefault="00345DD0" w:rsidP="00D326B4">
      <w:pPr>
        <w:ind w:left="-360" w:right="-360"/>
        <w:rPr>
          <w:rFonts w:ascii="Arial" w:hAnsi="Arial" w:cs="Arial"/>
          <w:b/>
        </w:rPr>
      </w:pPr>
    </w:p>
    <w:p w14:paraId="6908AD35" w14:textId="73C5718B" w:rsidR="00A655F6" w:rsidRDefault="00345DD0" w:rsidP="00D326B4">
      <w:pPr>
        <w:ind w:left="-360" w:right="-360"/>
        <w:rPr>
          <w:rFonts w:ascii="Arial" w:hAnsi="Arial" w:cs="Arial"/>
          <w:b/>
        </w:rPr>
      </w:pPr>
      <w:r>
        <w:rPr>
          <w:rFonts w:ascii="Arial" w:hAnsi="Arial" w:cs="Arial"/>
          <w:b/>
        </w:rPr>
        <w:tab/>
      </w:r>
      <w:r w:rsidR="008E4818" w:rsidRPr="00C15553">
        <w:rPr>
          <w:rFonts w:ascii="Arial" w:hAnsi="Arial" w:cs="Arial"/>
          <w:b/>
        </w:rPr>
        <w:t>RESNE</w:t>
      </w:r>
      <w:r w:rsidR="001935A7">
        <w:rPr>
          <w:rFonts w:ascii="Arial" w:hAnsi="Arial" w:cs="Arial"/>
          <w:b/>
        </w:rPr>
        <w:t>T QA oversight activities have discovered</w:t>
      </w:r>
      <w:r w:rsidR="008E4818" w:rsidRPr="00C15553">
        <w:rPr>
          <w:rFonts w:ascii="Arial" w:hAnsi="Arial" w:cs="Arial"/>
          <w:b/>
        </w:rPr>
        <w:t xml:space="preserve"> inconsistency among </w:t>
      </w:r>
      <w:r w:rsidR="00B2291B">
        <w:rPr>
          <w:rFonts w:ascii="Arial" w:hAnsi="Arial" w:cs="Arial"/>
          <w:b/>
        </w:rPr>
        <w:t>Quality Assurance Designees</w:t>
      </w:r>
      <w:r w:rsidR="008E4818" w:rsidRPr="00C15553">
        <w:rPr>
          <w:rFonts w:ascii="Arial" w:hAnsi="Arial" w:cs="Arial"/>
          <w:b/>
        </w:rPr>
        <w:t xml:space="preserve"> when </w:t>
      </w:r>
      <w:r w:rsidR="00B2291B">
        <w:rPr>
          <w:rFonts w:ascii="Arial" w:hAnsi="Arial" w:cs="Arial"/>
          <w:b/>
        </w:rPr>
        <w:t xml:space="preserve">performing field quality assurance on raters and RFIs.  The inconsistency stems from the interpretation of the term “independently confirmed” as it used in MINHERS Chapter 9, section 903.4.2.5.  Some Quality Assurance Designees use observation of the rater or RFI’s testing (either at original </w:t>
      </w:r>
      <w:r w:rsidR="0011330E">
        <w:rPr>
          <w:rFonts w:ascii="Arial" w:hAnsi="Arial" w:cs="Arial"/>
          <w:b/>
        </w:rPr>
        <w:t xml:space="preserve">final inspection or as part of a re-do </w:t>
      </w:r>
      <w:r w:rsidR="00AA0083">
        <w:rPr>
          <w:rFonts w:ascii="Arial" w:hAnsi="Arial" w:cs="Arial"/>
          <w:b/>
        </w:rPr>
        <w:t xml:space="preserve">final inspection </w:t>
      </w:r>
      <w:r w:rsidR="0011330E">
        <w:rPr>
          <w:rFonts w:ascii="Arial" w:hAnsi="Arial" w:cs="Arial"/>
          <w:b/>
        </w:rPr>
        <w:t xml:space="preserve">for QA) in lieu of performing their own independent test.  This saves time and (in the case of a QAD traveling from another market) saves the cost and hassle of traveling with additional testing equipment.  </w:t>
      </w:r>
      <w:r w:rsidR="00A655F6">
        <w:rPr>
          <w:rFonts w:ascii="Arial" w:hAnsi="Arial" w:cs="Arial"/>
          <w:b/>
        </w:rPr>
        <w:t xml:space="preserve">RESNET Staff QA oversight activities reveal that QADs do not always pay close attention to the </w:t>
      </w:r>
      <w:r w:rsidR="00AA0083">
        <w:rPr>
          <w:rFonts w:ascii="Arial" w:hAnsi="Arial" w:cs="Arial"/>
          <w:b/>
        </w:rPr>
        <w:t xml:space="preserve">equipment set up and performance testing processes, </w:t>
      </w:r>
      <w:r w:rsidR="00A655F6">
        <w:rPr>
          <w:rFonts w:ascii="Arial" w:hAnsi="Arial" w:cs="Arial"/>
          <w:b/>
        </w:rPr>
        <w:t xml:space="preserve">and instead just </w:t>
      </w:r>
      <w:r w:rsidR="00AA0083">
        <w:rPr>
          <w:rFonts w:ascii="Arial" w:hAnsi="Arial" w:cs="Arial"/>
          <w:b/>
        </w:rPr>
        <w:t xml:space="preserve">casually </w:t>
      </w:r>
      <w:r w:rsidR="00A655F6">
        <w:rPr>
          <w:rFonts w:ascii="Arial" w:hAnsi="Arial" w:cs="Arial"/>
          <w:b/>
        </w:rPr>
        <w:t xml:space="preserve">watch from a few feet away or stop what they are doing in another part of the house to snap a </w:t>
      </w:r>
      <w:r w:rsidR="00AA0083">
        <w:rPr>
          <w:rFonts w:ascii="Arial" w:hAnsi="Arial" w:cs="Arial"/>
          <w:b/>
        </w:rPr>
        <w:t xml:space="preserve">photo </w:t>
      </w:r>
      <w:r w:rsidR="00A655F6">
        <w:rPr>
          <w:rFonts w:ascii="Arial" w:hAnsi="Arial" w:cs="Arial"/>
          <w:b/>
        </w:rPr>
        <w:t>of the “paused” manometer test result.  In some cases, the QAD missed observing that equipment was damaged, mechanical systems were operating in the home</w:t>
      </w:r>
      <w:r w:rsidR="00AA0083">
        <w:rPr>
          <w:rFonts w:ascii="Arial" w:hAnsi="Arial" w:cs="Arial"/>
          <w:b/>
        </w:rPr>
        <w:t xml:space="preserve"> during testing</w:t>
      </w:r>
      <w:r w:rsidR="00A655F6">
        <w:rPr>
          <w:rFonts w:ascii="Arial" w:hAnsi="Arial" w:cs="Arial"/>
          <w:b/>
        </w:rPr>
        <w:t xml:space="preserve">, filters were not removed from duct systems, </w:t>
      </w:r>
      <w:r w:rsidR="00AA0083">
        <w:rPr>
          <w:rFonts w:ascii="Arial" w:hAnsi="Arial" w:cs="Arial"/>
          <w:b/>
        </w:rPr>
        <w:t>and/</w:t>
      </w:r>
      <w:r w:rsidR="00A655F6">
        <w:rPr>
          <w:rFonts w:ascii="Arial" w:hAnsi="Arial" w:cs="Arial"/>
          <w:b/>
        </w:rPr>
        <w:t xml:space="preserve">or interior door/attic access panels were not in the correct position. </w:t>
      </w:r>
    </w:p>
    <w:p w14:paraId="6C1EB31F" w14:textId="71882DF2" w:rsidR="004B6E68" w:rsidRPr="00C15553" w:rsidRDefault="00AA0083" w:rsidP="00D326B4">
      <w:pPr>
        <w:ind w:left="-360" w:right="-360"/>
        <w:rPr>
          <w:rFonts w:ascii="Arial" w:hAnsi="Arial" w:cs="Arial"/>
          <w:b/>
        </w:rPr>
      </w:pPr>
      <w:r>
        <w:rPr>
          <w:rFonts w:ascii="Arial" w:hAnsi="Arial" w:cs="Arial"/>
          <w:b/>
        </w:rPr>
        <w:t xml:space="preserve">Other </w:t>
      </w:r>
      <w:r w:rsidR="0011330E">
        <w:rPr>
          <w:rFonts w:ascii="Arial" w:hAnsi="Arial" w:cs="Arial"/>
          <w:b/>
        </w:rPr>
        <w:t xml:space="preserve">QADs interpret that the intent of “independently confirmed” can only be met by performing their own separate testing with their own equipment.  </w:t>
      </w:r>
    </w:p>
    <w:p w14:paraId="25A9B80F" w14:textId="77777777" w:rsidR="004B6E68" w:rsidRPr="00C15553" w:rsidRDefault="004B6E68" w:rsidP="00D326B4">
      <w:pPr>
        <w:ind w:left="-360" w:right="-360"/>
        <w:rPr>
          <w:rFonts w:ascii="Arial" w:hAnsi="Arial" w:cs="Arial"/>
          <w:b/>
        </w:rPr>
      </w:pPr>
    </w:p>
    <w:p w14:paraId="773953E5" w14:textId="1ED1BC3B" w:rsidR="00D326B4" w:rsidRDefault="00D326B4" w:rsidP="00D326B4">
      <w:pPr>
        <w:ind w:left="-360" w:right="-360"/>
        <w:rPr>
          <w:rFonts w:ascii="Arial" w:hAnsi="Arial" w:cs="Arial"/>
          <w:b/>
        </w:rPr>
      </w:pPr>
    </w:p>
    <w:p w14:paraId="6F2EF182" w14:textId="4BB2CB29" w:rsidR="00345DD0" w:rsidRDefault="00345DD0" w:rsidP="00D326B4">
      <w:pPr>
        <w:ind w:left="-360" w:right="-360"/>
        <w:rPr>
          <w:rFonts w:ascii="Arial" w:hAnsi="Arial" w:cs="Arial"/>
          <w:b/>
        </w:rPr>
      </w:pPr>
    </w:p>
    <w:p w14:paraId="6D547DF0" w14:textId="77777777" w:rsidR="00D326B4" w:rsidRDefault="00D326B4" w:rsidP="00D326B4">
      <w:pPr>
        <w:ind w:left="-360" w:right="-360"/>
        <w:rPr>
          <w:rFonts w:ascii="Arial" w:hAnsi="Arial" w:cs="Arial"/>
          <w:b/>
        </w:rPr>
      </w:pPr>
      <w:r>
        <w:rPr>
          <w:rFonts w:ascii="Arial" w:hAnsi="Arial" w:cs="Arial"/>
          <w:b/>
        </w:rPr>
        <w:t>Interpretation:</w:t>
      </w:r>
    </w:p>
    <w:p w14:paraId="5D7042DE" w14:textId="77777777" w:rsidR="00B31EEC" w:rsidRDefault="00B31EEC" w:rsidP="00B31EEC">
      <w:pPr>
        <w:ind w:left="-360" w:right="-360"/>
        <w:rPr>
          <w:rFonts w:ascii="Arial" w:hAnsi="Arial" w:cs="Arial"/>
          <w:b/>
        </w:rPr>
      </w:pPr>
    </w:p>
    <w:p w14:paraId="0DC63F82" w14:textId="15A39228" w:rsidR="004801AA" w:rsidRDefault="004801AA" w:rsidP="00A74AE0">
      <w:pPr>
        <w:rPr>
          <w:rFonts w:ascii="Arial" w:hAnsi="Arial" w:cs="Arial"/>
          <w:sz w:val="22"/>
          <w:szCs w:val="22"/>
        </w:rPr>
      </w:pPr>
      <w:r w:rsidRPr="004801AA">
        <w:rPr>
          <w:rFonts w:ascii="Arial" w:hAnsi="Arial" w:cs="Arial"/>
        </w:rPr>
        <w:t>The requirement of the MINHERS section 903.4.2.5 that “…, the QA Designee shall ensure that the minimum rated features of a rating are independently confirmed (i.e. confirmation of geometric characteristics, inspection of minimum rated features, and completion of any necessary performance testing)…” is interpreted to mean the QAD must confirm the geometric features</w:t>
      </w:r>
      <w:r w:rsidR="00A74AE0">
        <w:rPr>
          <w:rFonts w:ascii="Arial" w:hAnsi="Arial" w:cs="Arial"/>
        </w:rPr>
        <w:t xml:space="preserve"> and visually</w:t>
      </w:r>
      <w:r w:rsidRPr="004801AA">
        <w:rPr>
          <w:rFonts w:ascii="Arial" w:hAnsi="Arial" w:cs="Arial"/>
        </w:rPr>
        <w:t xml:space="preserve"> inspect the minimum rated features themselves and must </w:t>
      </w:r>
      <w:r w:rsidRPr="004801AA">
        <w:rPr>
          <w:rFonts w:ascii="Arial" w:hAnsi="Arial" w:cs="Arial"/>
        </w:rPr>
        <w:lastRenderedPageBreak/>
        <w:t xml:space="preserve">complete necessary performance testing separately themselves or </w:t>
      </w:r>
      <w:r w:rsidRPr="004801AA">
        <w:rPr>
          <w:rFonts w:ascii="Arial" w:hAnsi="Arial" w:cs="Arial"/>
          <w:i/>
          <w:iCs/>
        </w:rPr>
        <w:t>closely</w:t>
      </w:r>
      <w:r w:rsidRPr="004801AA">
        <w:rPr>
          <w:rFonts w:ascii="Arial" w:hAnsi="Arial" w:cs="Arial"/>
        </w:rPr>
        <w:t xml:space="preserve"> observe another qualified</w:t>
      </w:r>
      <w:r>
        <w:rPr>
          <w:rFonts w:ascii="Arial" w:hAnsi="Arial" w:cs="Arial"/>
        </w:rPr>
        <w:t xml:space="preserve"> individual (such as the rater or RFI) performing the test</w:t>
      </w:r>
      <w:r w:rsidR="00F81877">
        <w:rPr>
          <w:rFonts w:ascii="Arial" w:hAnsi="Arial" w:cs="Arial"/>
        </w:rPr>
        <w:t>ing</w:t>
      </w:r>
      <w:r>
        <w:rPr>
          <w:rFonts w:ascii="Arial" w:hAnsi="Arial" w:cs="Arial"/>
        </w:rPr>
        <w:t xml:space="preserve">.  When observing another individual, the QAD </w:t>
      </w:r>
      <w:r w:rsidR="00A74AE0">
        <w:rPr>
          <w:rFonts w:ascii="Arial" w:hAnsi="Arial" w:cs="Arial"/>
        </w:rPr>
        <w:t>shall</w:t>
      </w:r>
      <w:r>
        <w:rPr>
          <w:rFonts w:ascii="Arial" w:hAnsi="Arial" w:cs="Arial"/>
        </w:rPr>
        <w:t xml:space="preserve"> observe </w:t>
      </w:r>
      <w:r>
        <w:rPr>
          <w:rFonts w:ascii="Arial" w:hAnsi="Arial" w:cs="Arial"/>
          <w:u w:val="single"/>
        </w:rPr>
        <w:t>all</w:t>
      </w:r>
      <w:r>
        <w:rPr>
          <w:rFonts w:ascii="Arial" w:hAnsi="Arial" w:cs="Arial"/>
        </w:rPr>
        <w:t xml:space="preserve"> of the following variables:</w:t>
      </w:r>
    </w:p>
    <w:p w14:paraId="34CA07E9" w14:textId="65451AC0" w:rsidR="00AA0083" w:rsidRDefault="00AA0083" w:rsidP="000A62D2">
      <w:pPr>
        <w:pStyle w:val="ListParagraph"/>
        <w:numPr>
          <w:ilvl w:val="0"/>
          <w:numId w:val="5"/>
        </w:numPr>
        <w:ind w:right="-360"/>
        <w:rPr>
          <w:rFonts w:ascii="Arial" w:hAnsi="Arial" w:cs="Arial"/>
        </w:rPr>
      </w:pPr>
      <w:r>
        <w:rPr>
          <w:rFonts w:ascii="Arial" w:hAnsi="Arial" w:cs="Arial"/>
        </w:rPr>
        <w:t>equipment setup</w:t>
      </w:r>
      <w:bookmarkStart w:id="0" w:name="_GoBack"/>
      <w:bookmarkEnd w:id="0"/>
    </w:p>
    <w:p w14:paraId="1B5DDDB0" w14:textId="2630AF83" w:rsidR="000A62D2" w:rsidRDefault="000A62D2" w:rsidP="000A62D2">
      <w:pPr>
        <w:pStyle w:val="ListParagraph"/>
        <w:numPr>
          <w:ilvl w:val="0"/>
          <w:numId w:val="5"/>
        </w:numPr>
        <w:ind w:right="-360"/>
        <w:rPr>
          <w:rFonts w:ascii="Arial" w:hAnsi="Arial" w:cs="Arial"/>
        </w:rPr>
      </w:pPr>
      <w:r>
        <w:rPr>
          <w:rFonts w:ascii="Arial" w:hAnsi="Arial" w:cs="Arial"/>
        </w:rPr>
        <w:t>manometer setup</w:t>
      </w:r>
    </w:p>
    <w:p w14:paraId="3BEBA8B0" w14:textId="5931AD7B" w:rsidR="00AA0083" w:rsidRDefault="00AA0083" w:rsidP="000A62D2">
      <w:pPr>
        <w:pStyle w:val="ListParagraph"/>
        <w:numPr>
          <w:ilvl w:val="0"/>
          <w:numId w:val="5"/>
        </w:numPr>
        <w:ind w:right="-360"/>
        <w:rPr>
          <w:rFonts w:ascii="Arial" w:hAnsi="Arial" w:cs="Arial"/>
        </w:rPr>
      </w:pPr>
      <w:r>
        <w:rPr>
          <w:rFonts w:ascii="Arial" w:hAnsi="Arial" w:cs="Arial"/>
        </w:rPr>
        <w:t>preparation of the thermal envelope</w:t>
      </w:r>
    </w:p>
    <w:p w14:paraId="24A69C0B" w14:textId="46AE49B5" w:rsidR="00AA0083" w:rsidRDefault="00AA0083" w:rsidP="000A62D2">
      <w:pPr>
        <w:pStyle w:val="ListParagraph"/>
        <w:numPr>
          <w:ilvl w:val="0"/>
          <w:numId w:val="5"/>
        </w:numPr>
        <w:ind w:right="-360"/>
        <w:rPr>
          <w:rFonts w:ascii="Arial" w:hAnsi="Arial" w:cs="Arial"/>
        </w:rPr>
      </w:pPr>
      <w:r>
        <w:rPr>
          <w:rFonts w:ascii="Arial" w:hAnsi="Arial" w:cs="Arial"/>
        </w:rPr>
        <w:t>sealing of the duct supply registers and return grilles</w:t>
      </w:r>
    </w:p>
    <w:p w14:paraId="331887E5" w14:textId="7881BFC3" w:rsidR="00FC511F" w:rsidRDefault="00FC511F" w:rsidP="000A62D2">
      <w:pPr>
        <w:pStyle w:val="ListParagraph"/>
        <w:numPr>
          <w:ilvl w:val="0"/>
          <w:numId w:val="5"/>
        </w:numPr>
        <w:ind w:right="-360"/>
        <w:rPr>
          <w:rFonts w:ascii="Arial" w:hAnsi="Arial" w:cs="Arial"/>
        </w:rPr>
      </w:pPr>
      <w:r>
        <w:rPr>
          <w:rFonts w:ascii="Arial" w:hAnsi="Arial" w:cs="Arial"/>
        </w:rPr>
        <w:t>baseline reading</w:t>
      </w:r>
    </w:p>
    <w:p w14:paraId="7B618A43" w14:textId="1458602D" w:rsidR="000A62D2" w:rsidRDefault="000A62D2" w:rsidP="000A62D2">
      <w:pPr>
        <w:pStyle w:val="ListParagraph"/>
        <w:numPr>
          <w:ilvl w:val="0"/>
          <w:numId w:val="5"/>
        </w:numPr>
        <w:ind w:right="-360"/>
        <w:rPr>
          <w:rFonts w:ascii="Arial" w:hAnsi="Arial" w:cs="Arial"/>
        </w:rPr>
      </w:pPr>
      <w:r w:rsidRPr="000A62D2">
        <w:rPr>
          <w:rFonts w:ascii="Arial" w:hAnsi="Arial" w:cs="Arial"/>
        </w:rPr>
        <w:t xml:space="preserve">building and dwelling unit configuration, </w:t>
      </w:r>
      <w:r>
        <w:rPr>
          <w:rFonts w:ascii="Arial" w:hAnsi="Arial" w:cs="Arial"/>
        </w:rPr>
        <w:t>including:</w:t>
      </w:r>
    </w:p>
    <w:p w14:paraId="1D6E5AD1" w14:textId="2509A546" w:rsidR="000A62D2" w:rsidRDefault="000A62D2" w:rsidP="000A62D2">
      <w:pPr>
        <w:pStyle w:val="ListParagraph"/>
        <w:numPr>
          <w:ilvl w:val="1"/>
          <w:numId w:val="5"/>
        </w:numPr>
        <w:ind w:right="-360"/>
        <w:rPr>
          <w:rFonts w:ascii="Arial" w:hAnsi="Arial" w:cs="Arial"/>
        </w:rPr>
      </w:pPr>
      <w:r>
        <w:rPr>
          <w:rFonts w:ascii="Arial" w:hAnsi="Arial" w:cs="Arial"/>
        </w:rPr>
        <w:t>interior and exterior door/window position</w:t>
      </w:r>
    </w:p>
    <w:p w14:paraId="7E162A4B" w14:textId="0F18DC06" w:rsidR="000A62D2" w:rsidRDefault="000A62D2" w:rsidP="000A62D2">
      <w:pPr>
        <w:pStyle w:val="ListParagraph"/>
        <w:numPr>
          <w:ilvl w:val="1"/>
          <w:numId w:val="5"/>
        </w:numPr>
        <w:ind w:right="-360"/>
        <w:rPr>
          <w:rFonts w:ascii="Arial" w:hAnsi="Arial" w:cs="Arial"/>
        </w:rPr>
      </w:pPr>
      <w:r>
        <w:rPr>
          <w:rFonts w:ascii="Arial" w:hAnsi="Arial" w:cs="Arial"/>
        </w:rPr>
        <w:t xml:space="preserve">equipment damper </w:t>
      </w:r>
      <w:r w:rsidR="00FC511F">
        <w:rPr>
          <w:rFonts w:ascii="Arial" w:hAnsi="Arial" w:cs="Arial"/>
        </w:rPr>
        <w:t>position</w:t>
      </w:r>
    </w:p>
    <w:p w14:paraId="47BD9624" w14:textId="49EB6E90" w:rsidR="00FC511F" w:rsidRDefault="00FC511F" w:rsidP="000A62D2">
      <w:pPr>
        <w:pStyle w:val="ListParagraph"/>
        <w:numPr>
          <w:ilvl w:val="1"/>
          <w:numId w:val="5"/>
        </w:numPr>
        <w:ind w:right="-360"/>
        <w:rPr>
          <w:rFonts w:ascii="Arial" w:hAnsi="Arial" w:cs="Arial"/>
        </w:rPr>
      </w:pPr>
      <w:r>
        <w:rPr>
          <w:rFonts w:ascii="Arial" w:hAnsi="Arial" w:cs="Arial"/>
        </w:rPr>
        <w:t>mechanical systems disabled/filters removed</w:t>
      </w:r>
    </w:p>
    <w:p w14:paraId="3576ADA0" w14:textId="22AA4CEE" w:rsidR="000A62D2" w:rsidRDefault="000A62D2" w:rsidP="000A62D2">
      <w:pPr>
        <w:pStyle w:val="ListParagraph"/>
        <w:numPr>
          <w:ilvl w:val="0"/>
          <w:numId w:val="5"/>
        </w:numPr>
        <w:ind w:right="-360"/>
        <w:rPr>
          <w:rFonts w:ascii="Arial" w:hAnsi="Arial" w:cs="Arial"/>
        </w:rPr>
      </w:pPr>
      <w:r w:rsidRPr="000A62D2">
        <w:rPr>
          <w:rFonts w:ascii="Arial" w:hAnsi="Arial" w:cs="Arial"/>
        </w:rPr>
        <w:t xml:space="preserve">reference </w:t>
      </w:r>
      <w:r w:rsidR="00FC511F">
        <w:rPr>
          <w:rFonts w:ascii="Arial" w:hAnsi="Arial" w:cs="Arial"/>
        </w:rPr>
        <w:t xml:space="preserve">tube </w:t>
      </w:r>
      <w:r w:rsidRPr="000A62D2">
        <w:rPr>
          <w:rFonts w:ascii="Arial" w:hAnsi="Arial" w:cs="Arial"/>
        </w:rPr>
        <w:t>location</w:t>
      </w:r>
    </w:p>
    <w:p w14:paraId="7DB20984" w14:textId="225BD558" w:rsidR="00FC511F" w:rsidRDefault="00FC511F" w:rsidP="000A62D2">
      <w:pPr>
        <w:pStyle w:val="ListParagraph"/>
        <w:numPr>
          <w:ilvl w:val="0"/>
          <w:numId w:val="5"/>
        </w:numPr>
        <w:ind w:right="-360"/>
        <w:rPr>
          <w:rFonts w:ascii="Arial" w:hAnsi="Arial" w:cs="Arial"/>
        </w:rPr>
      </w:pPr>
      <w:r>
        <w:rPr>
          <w:rFonts w:ascii="Arial" w:hAnsi="Arial" w:cs="Arial"/>
        </w:rPr>
        <w:t>atmospheric conditions</w:t>
      </w:r>
    </w:p>
    <w:p w14:paraId="5079F657" w14:textId="38144485" w:rsidR="00B31EEC" w:rsidRDefault="000A62D2" w:rsidP="000A62D2">
      <w:pPr>
        <w:pStyle w:val="ListParagraph"/>
        <w:numPr>
          <w:ilvl w:val="0"/>
          <w:numId w:val="5"/>
        </w:numPr>
        <w:ind w:right="-360"/>
        <w:rPr>
          <w:rFonts w:ascii="Arial" w:hAnsi="Arial" w:cs="Arial"/>
        </w:rPr>
      </w:pPr>
      <w:r w:rsidRPr="000A62D2">
        <w:rPr>
          <w:rFonts w:ascii="Arial" w:hAnsi="Arial" w:cs="Arial"/>
        </w:rPr>
        <w:t>equipment condition</w:t>
      </w:r>
    </w:p>
    <w:p w14:paraId="7C957AF4" w14:textId="17494A2A" w:rsidR="00FC511F" w:rsidRDefault="00FC511F" w:rsidP="00FC511F">
      <w:pPr>
        <w:pStyle w:val="ListParagraph"/>
        <w:numPr>
          <w:ilvl w:val="1"/>
          <w:numId w:val="5"/>
        </w:numPr>
        <w:ind w:right="-360"/>
        <w:rPr>
          <w:rFonts w:ascii="Arial" w:hAnsi="Arial" w:cs="Arial"/>
        </w:rPr>
      </w:pPr>
      <w:r>
        <w:rPr>
          <w:rFonts w:ascii="Arial" w:hAnsi="Arial" w:cs="Arial"/>
        </w:rPr>
        <w:t>current calibration</w:t>
      </w:r>
    </w:p>
    <w:p w14:paraId="7ECF7084" w14:textId="231D91A9" w:rsidR="00FC511F" w:rsidRDefault="00FC511F" w:rsidP="00FC511F">
      <w:pPr>
        <w:pStyle w:val="ListParagraph"/>
        <w:numPr>
          <w:ilvl w:val="1"/>
          <w:numId w:val="5"/>
        </w:numPr>
        <w:ind w:right="-360"/>
        <w:rPr>
          <w:rFonts w:ascii="Arial" w:hAnsi="Arial" w:cs="Arial"/>
        </w:rPr>
      </w:pPr>
      <w:r>
        <w:rPr>
          <w:rFonts w:ascii="Arial" w:hAnsi="Arial" w:cs="Arial"/>
        </w:rPr>
        <w:t>check for damage and wear such as cracked tubing or fan blades contacting fan housing</w:t>
      </w:r>
    </w:p>
    <w:p w14:paraId="6D2EF407" w14:textId="7A560D31" w:rsidR="00FC511F" w:rsidRDefault="00FC511F" w:rsidP="000A62D2">
      <w:pPr>
        <w:pStyle w:val="ListParagraph"/>
        <w:numPr>
          <w:ilvl w:val="0"/>
          <w:numId w:val="5"/>
        </w:numPr>
        <w:ind w:right="-360"/>
        <w:rPr>
          <w:rFonts w:ascii="Arial" w:hAnsi="Arial" w:cs="Arial"/>
        </w:rPr>
      </w:pPr>
      <w:r>
        <w:rPr>
          <w:rFonts w:ascii="Arial" w:hAnsi="Arial" w:cs="Arial"/>
        </w:rPr>
        <w:t>correct fan ring/orifice setup</w:t>
      </w:r>
    </w:p>
    <w:p w14:paraId="5244FC9F" w14:textId="26758D4D" w:rsidR="00FC511F" w:rsidRDefault="00FC511F" w:rsidP="000A62D2">
      <w:pPr>
        <w:pStyle w:val="ListParagraph"/>
        <w:numPr>
          <w:ilvl w:val="0"/>
          <w:numId w:val="5"/>
        </w:numPr>
        <w:ind w:right="-360"/>
        <w:rPr>
          <w:rFonts w:ascii="Arial" w:hAnsi="Arial" w:cs="Arial"/>
        </w:rPr>
      </w:pPr>
      <w:r>
        <w:rPr>
          <w:rFonts w:ascii="Arial" w:hAnsi="Arial" w:cs="Arial"/>
        </w:rPr>
        <w:t>automated test setup (if applicable)</w:t>
      </w:r>
    </w:p>
    <w:p w14:paraId="04695DCE" w14:textId="77777777" w:rsidR="006C0697" w:rsidRPr="00610EFF" w:rsidRDefault="006C0697" w:rsidP="006C0697">
      <w:pPr>
        <w:ind w:right="-360"/>
      </w:pPr>
    </w:p>
    <w:p w14:paraId="06BA86C9" w14:textId="06D7C881" w:rsidR="006C0697" w:rsidRPr="00610EFF" w:rsidRDefault="006C0697" w:rsidP="006C0697">
      <w:pPr>
        <w:ind w:right="-360"/>
        <w:rPr>
          <w:rFonts w:ascii="Arial" w:hAnsi="Arial" w:cs="Arial"/>
        </w:rPr>
      </w:pPr>
      <w:r w:rsidRPr="00610EFF">
        <w:rPr>
          <w:rFonts w:ascii="Arial" w:hAnsi="Arial" w:cs="Arial"/>
        </w:rPr>
        <w:t>The observed testing shall be observed at the beginning from entry into the dwelling to completion of all testing. The checklist of observations is to be completed during the process.</w:t>
      </w:r>
    </w:p>
    <w:p w14:paraId="06C12614" w14:textId="77777777" w:rsidR="00345DD0" w:rsidRPr="00610EFF" w:rsidRDefault="00345DD0" w:rsidP="00D326B4">
      <w:pPr>
        <w:ind w:left="-360" w:right="-360"/>
        <w:rPr>
          <w:rFonts w:ascii="Arial" w:hAnsi="Arial" w:cs="Arial"/>
          <w:b/>
        </w:rPr>
      </w:pPr>
    </w:p>
    <w:p w14:paraId="71EC378D" w14:textId="77777777" w:rsidR="00B31EEC" w:rsidRDefault="00B31EEC" w:rsidP="00D326B4">
      <w:pPr>
        <w:ind w:left="-360" w:right="-360"/>
        <w:rPr>
          <w:rFonts w:ascii="Arial" w:hAnsi="Arial" w:cs="Arial"/>
          <w:b/>
        </w:rPr>
      </w:pPr>
      <w:r>
        <w:rPr>
          <w:rFonts w:ascii="Arial" w:hAnsi="Arial" w:cs="Arial"/>
          <w:b/>
        </w:rPr>
        <w:t>Rationale:</w:t>
      </w:r>
    </w:p>
    <w:p w14:paraId="0E1C1529" w14:textId="77777777" w:rsidR="00B31EEC" w:rsidRPr="00345DD0" w:rsidRDefault="00B31EEC" w:rsidP="00D326B4">
      <w:pPr>
        <w:ind w:left="-360" w:right="-360"/>
        <w:rPr>
          <w:rFonts w:ascii="Arial" w:hAnsi="Arial" w:cs="Arial"/>
        </w:rPr>
      </w:pPr>
    </w:p>
    <w:p w14:paraId="5A233240" w14:textId="724E6421" w:rsidR="00345DD0" w:rsidRDefault="00036B62" w:rsidP="00D326B4">
      <w:pPr>
        <w:ind w:left="-360" w:right="-360"/>
        <w:rPr>
          <w:rFonts w:ascii="Arial" w:hAnsi="Arial" w:cs="Arial"/>
          <w:b/>
        </w:rPr>
      </w:pPr>
      <w:r>
        <w:rPr>
          <w:rFonts w:ascii="Arial" w:hAnsi="Arial" w:cs="Arial"/>
          <w:b/>
        </w:rPr>
        <w:t>The above interpretation is necessary in the name of consistency</w:t>
      </w:r>
      <w:r w:rsidR="00C15553">
        <w:rPr>
          <w:rFonts w:ascii="Arial" w:hAnsi="Arial" w:cs="Arial"/>
          <w:b/>
        </w:rPr>
        <w:t xml:space="preserve"> and creating a level playing field</w:t>
      </w:r>
      <w:r w:rsidR="0011330E">
        <w:rPr>
          <w:rFonts w:ascii="Arial" w:hAnsi="Arial" w:cs="Arial"/>
          <w:b/>
        </w:rPr>
        <w:t xml:space="preserve"> given the cost and time differences</w:t>
      </w:r>
      <w:r>
        <w:rPr>
          <w:rFonts w:ascii="Arial" w:hAnsi="Arial" w:cs="Arial"/>
          <w:b/>
        </w:rPr>
        <w:t>.</w:t>
      </w:r>
    </w:p>
    <w:p w14:paraId="3FD80361" w14:textId="26E0DB64" w:rsidR="00C20087" w:rsidRDefault="00C20087" w:rsidP="00D326B4">
      <w:pPr>
        <w:ind w:left="-360" w:right="-360"/>
        <w:rPr>
          <w:rFonts w:ascii="Arial" w:hAnsi="Arial" w:cs="Arial"/>
          <w:b/>
        </w:rPr>
      </w:pPr>
      <w:r>
        <w:rPr>
          <w:rFonts w:ascii="Arial" w:hAnsi="Arial" w:cs="Arial"/>
          <w:b/>
        </w:rPr>
        <w:t>The above interpretation is in line with the ori</w:t>
      </w:r>
      <w:r w:rsidR="00FC511F">
        <w:rPr>
          <w:rFonts w:ascii="Arial" w:hAnsi="Arial" w:cs="Arial"/>
          <w:b/>
        </w:rPr>
        <w:t>ginal intent of the standard and allows for an economical alternative that is already widely used in the marketplace today.</w:t>
      </w:r>
      <w:r w:rsidR="00A74AE0">
        <w:rPr>
          <w:rFonts w:ascii="Arial" w:hAnsi="Arial" w:cs="Arial"/>
          <w:b/>
        </w:rPr>
        <w:t xml:space="preserve">  In addition, the allowance for close visual observation of testing will make inclusion of remote QA easier in the future without having to alter this interpretation.</w:t>
      </w:r>
    </w:p>
    <w:p w14:paraId="55D19B4E" w14:textId="653FD3EE" w:rsidR="00345DD0" w:rsidRPr="00345DD0" w:rsidRDefault="00345DD0" w:rsidP="00D326B4">
      <w:pPr>
        <w:ind w:left="-360" w:right="-360"/>
        <w:rPr>
          <w:rFonts w:ascii="Arial" w:hAnsi="Arial" w:cs="Arial"/>
        </w:rPr>
      </w:pPr>
    </w:p>
    <w:p w14:paraId="5CB22E12" w14:textId="3A9E55DC" w:rsidR="00345DD0" w:rsidRDefault="00345DD0" w:rsidP="00D326B4">
      <w:pPr>
        <w:ind w:left="-360" w:right="-360"/>
        <w:rPr>
          <w:rFonts w:ascii="Arial" w:hAnsi="Arial" w:cs="Arial"/>
        </w:rPr>
      </w:pPr>
    </w:p>
    <w:p w14:paraId="6750B349" w14:textId="1DFAD39C" w:rsidR="00345DD0" w:rsidRDefault="00345DD0" w:rsidP="00D326B4">
      <w:pPr>
        <w:ind w:left="-360" w:right="-360"/>
        <w:rPr>
          <w:rFonts w:ascii="Arial" w:hAnsi="Arial" w:cs="Arial"/>
        </w:rPr>
      </w:pPr>
    </w:p>
    <w:p w14:paraId="3A94C437" w14:textId="783842D3" w:rsidR="00345DD0" w:rsidRDefault="00345DD0" w:rsidP="00D326B4">
      <w:pPr>
        <w:ind w:left="-360" w:right="-360"/>
        <w:rPr>
          <w:rFonts w:ascii="Arial" w:hAnsi="Arial" w:cs="Arial"/>
        </w:rPr>
      </w:pPr>
    </w:p>
    <w:p w14:paraId="2168987B" w14:textId="0BFD6840" w:rsidR="00345DD0" w:rsidRDefault="00345DD0" w:rsidP="00D326B4">
      <w:pPr>
        <w:ind w:left="-360" w:right="-360"/>
        <w:rPr>
          <w:rFonts w:ascii="Arial" w:hAnsi="Arial" w:cs="Arial"/>
          <w:i/>
        </w:rPr>
      </w:pPr>
      <w:r>
        <w:rPr>
          <w:rFonts w:ascii="Arial" w:hAnsi="Arial" w:cs="Arial"/>
          <w:i/>
        </w:rPr>
        <w:t xml:space="preserve">See RESNET Consensus Standards webpage heading INTERPRETATIONS for examples of interpretations at: </w:t>
      </w:r>
      <w:hyperlink r:id="rId8" w:history="1">
        <w:r w:rsidRPr="00A57BEA">
          <w:rPr>
            <w:rStyle w:val="Hyperlink"/>
            <w:rFonts w:ascii="Arial" w:hAnsi="Arial" w:cs="Arial"/>
            <w:i/>
          </w:rPr>
          <w:t>http://www.resnet.us/blog/resnet-consensus-standards/</w:t>
        </w:r>
      </w:hyperlink>
    </w:p>
    <w:p w14:paraId="791A61DC" w14:textId="77777777" w:rsidR="00345DD0" w:rsidRPr="00345DD0" w:rsidRDefault="00345DD0" w:rsidP="00D326B4">
      <w:pPr>
        <w:ind w:left="-360" w:right="-360"/>
        <w:rPr>
          <w:rFonts w:ascii="Arial" w:hAnsi="Arial" w:cs="Arial"/>
          <w:i/>
        </w:rPr>
      </w:pPr>
    </w:p>
    <w:sectPr w:rsidR="00345DD0" w:rsidRPr="00345DD0" w:rsidSect="00345DD0">
      <w:headerReference w:type="even" r:id="rId9"/>
      <w:headerReference w:type="default" r:id="rId10"/>
      <w:footerReference w:type="even" r:id="rId11"/>
      <w:footerReference w:type="default" r:id="rId12"/>
      <w:headerReference w:type="first" r:id="rId13"/>
      <w:footerReference w:type="first" r:id="rId14"/>
      <w:pgSz w:w="12240" w:h="15840"/>
      <w:pgMar w:top="3168" w:right="810" w:bottom="1440" w:left="1440" w:header="1077" w:footer="706"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F383727" w14:textId="77777777" w:rsidR="001801AD" w:rsidRDefault="001801AD" w:rsidP="00B840E0">
      <w:r>
        <w:separator/>
      </w:r>
    </w:p>
  </w:endnote>
  <w:endnote w:type="continuationSeparator" w:id="0">
    <w:p w14:paraId="41F10F32" w14:textId="77777777" w:rsidR="001801AD" w:rsidRDefault="001801AD" w:rsidP="00B840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C2DCE1" w14:textId="77777777" w:rsidR="007F6194" w:rsidRDefault="007F6194" w:rsidP="00B72A71">
    <w:pPr>
      <w:pStyle w:val="Footer"/>
      <w:tabs>
        <w:tab w:val="clear" w:pos="4320"/>
        <w:tab w:val="clear" w:pos="8640"/>
        <w:tab w:val="center" w:pos="4680"/>
        <w:tab w:val="right" w:pos="9360"/>
      </w:tabs>
    </w:pPr>
    <w:r>
      <w:t>[Type text]</w:t>
    </w:r>
    <w:r>
      <w:tab/>
      <w:t>[Type text]</w:t>
    </w:r>
    <w:r>
      <w:tab/>
      <w:t>[Type text]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6B4C81" w14:textId="1CB1D7C8" w:rsidR="007F6194" w:rsidRPr="007F6194" w:rsidRDefault="00DA43E0" w:rsidP="007F6194">
    <w:pPr>
      <w:pStyle w:val="Footer"/>
      <w:jc w:val="center"/>
    </w:pPr>
    <w:r>
      <w:rPr>
        <w:noProof/>
      </w:rPr>
      <w:drawing>
        <wp:inline distT="0" distB="0" distL="0" distR="0" wp14:anchorId="24DC0CA2" wp14:editId="77C005F7">
          <wp:extent cx="4084320" cy="8382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084320" cy="83820"/>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095AD0" w14:textId="77777777" w:rsidR="00F77494" w:rsidRDefault="00F7749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C6001D8" w14:textId="77777777" w:rsidR="001801AD" w:rsidRDefault="001801AD" w:rsidP="00B840E0">
      <w:r>
        <w:separator/>
      </w:r>
    </w:p>
  </w:footnote>
  <w:footnote w:type="continuationSeparator" w:id="0">
    <w:p w14:paraId="6B4C79D5" w14:textId="77777777" w:rsidR="001801AD" w:rsidRDefault="001801AD" w:rsidP="00B840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1BBBA7" w14:textId="77777777" w:rsidR="007F6194" w:rsidRDefault="007F6194" w:rsidP="00B840E0">
    <w:pPr>
      <w:pStyle w:val="Header"/>
    </w:pPr>
    <w:r>
      <w:t>[Type text]</w:t>
    </w:r>
    <w:r>
      <w:tab/>
      <w:t>[Type text]</w:t>
    </w:r>
    <w:r>
      <w:tab/>
      <w:t>[Type text]</w:t>
    </w:r>
  </w:p>
  <w:p w14:paraId="2BFADDE5" w14:textId="77777777" w:rsidR="007F6194" w:rsidRDefault="007F619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C4BED3" w14:textId="359E603B" w:rsidR="007F6194" w:rsidRPr="007F6194" w:rsidRDefault="00DA43E0" w:rsidP="00B448AB">
    <w:pPr>
      <w:pStyle w:val="Header"/>
      <w:jc w:val="center"/>
    </w:pPr>
    <w:r>
      <w:rPr>
        <w:noProof/>
      </w:rPr>
      <w:drawing>
        <wp:anchor distT="0" distB="0" distL="114300" distR="114300" simplePos="0" relativeHeight="251657728" behindDoc="1" locked="0" layoutInCell="1" allowOverlap="1" wp14:anchorId="03C482D6" wp14:editId="16BB970C">
          <wp:simplePos x="0" y="0"/>
          <wp:positionH relativeFrom="column">
            <wp:posOffset>-228600</wp:posOffset>
          </wp:positionH>
          <wp:positionV relativeFrom="paragraph">
            <wp:posOffset>-23495</wp:posOffset>
          </wp:positionV>
          <wp:extent cx="6400800" cy="72517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00800" cy="72517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CAFB4A" w14:textId="77777777" w:rsidR="00F77494" w:rsidRDefault="00F7749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654D2B"/>
    <w:multiLevelType w:val="hybridMultilevel"/>
    <w:tmpl w:val="752CB1F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7346AAF"/>
    <w:multiLevelType w:val="hybridMultilevel"/>
    <w:tmpl w:val="2354AAE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8197D84"/>
    <w:multiLevelType w:val="hybridMultilevel"/>
    <w:tmpl w:val="A090542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BEC2A2A"/>
    <w:multiLevelType w:val="hybridMultilevel"/>
    <w:tmpl w:val="79424F6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68832E04"/>
    <w:multiLevelType w:val="hybridMultilevel"/>
    <w:tmpl w:val="2D2A0B4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
  </w:num>
  <w:num w:numId="2">
    <w:abstractNumId w:val="2"/>
  </w:num>
  <w:num w:numId="3">
    <w:abstractNumId w:val="0"/>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attachedTemplate r:id="rId1"/>
  <w:defaultTabStop w:val="720"/>
  <w:drawingGridHorizontalSpacing w:val="360"/>
  <w:drawingGridVerticalSpacing w:val="360"/>
  <w:displayHorizontalDrawingGridEvery w:val="0"/>
  <w:displayVerticalDrawingGridEvery w:val="0"/>
  <w:characterSpacingControl w:val="doNotCompress"/>
  <w:hdrShapeDefaults>
    <o:shapedefaults v:ext="edit" spidmax="819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7494"/>
    <w:rsid w:val="000042F7"/>
    <w:rsid w:val="00036B62"/>
    <w:rsid w:val="00047EC0"/>
    <w:rsid w:val="0008539D"/>
    <w:rsid w:val="000A62D2"/>
    <w:rsid w:val="000D7046"/>
    <w:rsid w:val="000E4646"/>
    <w:rsid w:val="0011330E"/>
    <w:rsid w:val="001801AD"/>
    <w:rsid w:val="001935A7"/>
    <w:rsid w:val="001E27CF"/>
    <w:rsid w:val="002175F7"/>
    <w:rsid w:val="00220EBB"/>
    <w:rsid w:val="0023054D"/>
    <w:rsid w:val="002455F7"/>
    <w:rsid w:val="00247EDA"/>
    <w:rsid w:val="002A02F8"/>
    <w:rsid w:val="002A759B"/>
    <w:rsid w:val="00321723"/>
    <w:rsid w:val="00326BA0"/>
    <w:rsid w:val="00330F8B"/>
    <w:rsid w:val="00345DD0"/>
    <w:rsid w:val="00360E54"/>
    <w:rsid w:val="00382CC1"/>
    <w:rsid w:val="00386EA6"/>
    <w:rsid w:val="003F647B"/>
    <w:rsid w:val="00463682"/>
    <w:rsid w:val="004801AA"/>
    <w:rsid w:val="00487D1E"/>
    <w:rsid w:val="004A4D5C"/>
    <w:rsid w:val="004A6140"/>
    <w:rsid w:val="004B6E68"/>
    <w:rsid w:val="005839A4"/>
    <w:rsid w:val="00596C35"/>
    <w:rsid w:val="005E1CE7"/>
    <w:rsid w:val="00610EFF"/>
    <w:rsid w:val="00621616"/>
    <w:rsid w:val="006410D1"/>
    <w:rsid w:val="00644B2A"/>
    <w:rsid w:val="00651F14"/>
    <w:rsid w:val="006C0697"/>
    <w:rsid w:val="006E77A5"/>
    <w:rsid w:val="00746C5A"/>
    <w:rsid w:val="007810A9"/>
    <w:rsid w:val="0079219A"/>
    <w:rsid w:val="007A6B5C"/>
    <w:rsid w:val="007E0622"/>
    <w:rsid w:val="007F6194"/>
    <w:rsid w:val="00866140"/>
    <w:rsid w:val="008701BE"/>
    <w:rsid w:val="00897689"/>
    <w:rsid w:val="008D26F8"/>
    <w:rsid w:val="008E4818"/>
    <w:rsid w:val="009133A4"/>
    <w:rsid w:val="00947FCE"/>
    <w:rsid w:val="0098685E"/>
    <w:rsid w:val="009F4746"/>
    <w:rsid w:val="00A242BD"/>
    <w:rsid w:val="00A655F6"/>
    <w:rsid w:val="00A74AE0"/>
    <w:rsid w:val="00AA0083"/>
    <w:rsid w:val="00B00016"/>
    <w:rsid w:val="00B06309"/>
    <w:rsid w:val="00B2291B"/>
    <w:rsid w:val="00B31EEC"/>
    <w:rsid w:val="00B448AB"/>
    <w:rsid w:val="00B72A71"/>
    <w:rsid w:val="00B840E0"/>
    <w:rsid w:val="00B85876"/>
    <w:rsid w:val="00BA5653"/>
    <w:rsid w:val="00BE430D"/>
    <w:rsid w:val="00C15553"/>
    <w:rsid w:val="00C20087"/>
    <w:rsid w:val="00C36402"/>
    <w:rsid w:val="00C60DF6"/>
    <w:rsid w:val="00C66D21"/>
    <w:rsid w:val="00D326B4"/>
    <w:rsid w:val="00D87E1D"/>
    <w:rsid w:val="00DA43E0"/>
    <w:rsid w:val="00DF0F63"/>
    <w:rsid w:val="00E1580F"/>
    <w:rsid w:val="00E43BC8"/>
    <w:rsid w:val="00E7327D"/>
    <w:rsid w:val="00EB322C"/>
    <w:rsid w:val="00EB5233"/>
    <w:rsid w:val="00EF2E2A"/>
    <w:rsid w:val="00F46E82"/>
    <w:rsid w:val="00F6521A"/>
    <w:rsid w:val="00F77494"/>
    <w:rsid w:val="00F81877"/>
    <w:rsid w:val="00F86111"/>
    <w:rsid w:val="00F861A6"/>
    <w:rsid w:val="00FC511F"/>
    <w:rsid w:val="00FF0883"/>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14:docId w14:val="50005245"/>
  <w15:docId w15:val="{4EAF19FB-D9DB-49C8-BAC4-D931A4AE8F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mbria" w:eastAsia="MS Mincho" w:hAnsi="Cambria"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7494"/>
    <w:rPr>
      <w:rFonts w:ascii="Times New Roman" w:eastAsia="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840E0"/>
    <w:pPr>
      <w:tabs>
        <w:tab w:val="center" w:pos="4320"/>
        <w:tab w:val="right" w:pos="8640"/>
      </w:tabs>
    </w:pPr>
  </w:style>
  <w:style w:type="character" w:customStyle="1" w:styleId="HeaderChar">
    <w:name w:val="Header Char"/>
    <w:link w:val="Header"/>
    <w:uiPriority w:val="99"/>
    <w:rsid w:val="00B840E0"/>
    <w:rPr>
      <w:sz w:val="24"/>
      <w:szCs w:val="24"/>
    </w:rPr>
  </w:style>
  <w:style w:type="paragraph" w:styleId="Footer">
    <w:name w:val="footer"/>
    <w:basedOn w:val="Normal"/>
    <w:link w:val="FooterChar"/>
    <w:uiPriority w:val="99"/>
    <w:unhideWhenUsed/>
    <w:rsid w:val="00B840E0"/>
    <w:pPr>
      <w:tabs>
        <w:tab w:val="center" w:pos="4320"/>
        <w:tab w:val="right" w:pos="8640"/>
      </w:tabs>
    </w:pPr>
  </w:style>
  <w:style w:type="character" w:customStyle="1" w:styleId="FooterChar">
    <w:name w:val="Footer Char"/>
    <w:link w:val="Footer"/>
    <w:uiPriority w:val="99"/>
    <w:rsid w:val="00B840E0"/>
    <w:rPr>
      <w:sz w:val="24"/>
      <w:szCs w:val="24"/>
    </w:rPr>
  </w:style>
  <w:style w:type="paragraph" w:styleId="ListParagraph">
    <w:name w:val="List Paragraph"/>
    <w:basedOn w:val="Normal"/>
    <w:uiPriority w:val="34"/>
    <w:qFormat/>
    <w:rsid w:val="00F77494"/>
    <w:pPr>
      <w:ind w:left="720"/>
      <w:contextualSpacing/>
    </w:pPr>
  </w:style>
  <w:style w:type="character" w:styleId="Hyperlink">
    <w:name w:val="Hyperlink"/>
    <w:uiPriority w:val="99"/>
    <w:unhideWhenUsed/>
    <w:rsid w:val="00F77494"/>
    <w:rPr>
      <w:color w:val="0000FF"/>
      <w:u w:val="single"/>
    </w:rPr>
  </w:style>
  <w:style w:type="paragraph" w:styleId="PlainText">
    <w:name w:val="Plain Text"/>
    <w:basedOn w:val="Normal"/>
    <w:link w:val="PlainTextChar"/>
    <w:uiPriority w:val="99"/>
    <w:unhideWhenUsed/>
    <w:rsid w:val="007810A9"/>
    <w:rPr>
      <w:rFonts w:ascii="Calibri" w:eastAsia="Calibri" w:hAnsi="Calibri" w:cs="Consolas"/>
      <w:sz w:val="22"/>
      <w:szCs w:val="21"/>
    </w:rPr>
  </w:style>
  <w:style w:type="character" w:customStyle="1" w:styleId="PlainTextChar">
    <w:name w:val="Plain Text Char"/>
    <w:link w:val="PlainText"/>
    <w:uiPriority w:val="99"/>
    <w:rsid w:val="007810A9"/>
    <w:rPr>
      <w:rFonts w:ascii="Calibri" w:eastAsia="Calibri" w:hAnsi="Calibri" w:cs="Consolas"/>
      <w:sz w:val="22"/>
      <w:szCs w:val="21"/>
    </w:rPr>
  </w:style>
  <w:style w:type="character" w:customStyle="1" w:styleId="UnresolvedMention1">
    <w:name w:val="Unresolved Mention1"/>
    <w:uiPriority w:val="99"/>
    <w:semiHidden/>
    <w:unhideWhenUsed/>
    <w:rsid w:val="00345DD0"/>
    <w:rPr>
      <w:color w:val="808080"/>
      <w:shd w:val="clear" w:color="auto" w:fill="E6E6E6"/>
    </w:rPr>
  </w:style>
  <w:style w:type="character" w:styleId="FollowedHyperlink">
    <w:name w:val="FollowedHyperlink"/>
    <w:basedOn w:val="DefaultParagraphFont"/>
    <w:uiPriority w:val="99"/>
    <w:semiHidden/>
    <w:unhideWhenUsed/>
    <w:rsid w:val="00596C35"/>
    <w:rPr>
      <w:color w:val="800080" w:themeColor="followedHyperlink"/>
      <w:u w:val="single"/>
    </w:rPr>
  </w:style>
  <w:style w:type="paragraph" w:styleId="BalloonText">
    <w:name w:val="Balloon Text"/>
    <w:basedOn w:val="Normal"/>
    <w:link w:val="BalloonTextChar"/>
    <w:uiPriority w:val="99"/>
    <w:semiHidden/>
    <w:unhideWhenUsed/>
    <w:rsid w:val="00AA008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A0083"/>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5751819">
      <w:bodyDiv w:val="1"/>
      <w:marLeft w:val="0"/>
      <w:marRight w:val="0"/>
      <w:marTop w:val="0"/>
      <w:marBottom w:val="0"/>
      <w:divBdr>
        <w:top w:val="none" w:sz="0" w:space="0" w:color="auto"/>
        <w:left w:val="none" w:sz="0" w:space="0" w:color="auto"/>
        <w:bottom w:val="none" w:sz="0" w:space="0" w:color="auto"/>
        <w:right w:val="none" w:sz="0" w:space="0" w:color="auto"/>
      </w:divBdr>
    </w:div>
    <w:div w:id="664019002">
      <w:bodyDiv w:val="1"/>
      <w:marLeft w:val="0"/>
      <w:marRight w:val="0"/>
      <w:marTop w:val="0"/>
      <w:marBottom w:val="0"/>
      <w:divBdr>
        <w:top w:val="none" w:sz="0" w:space="0" w:color="auto"/>
        <w:left w:val="none" w:sz="0" w:space="0" w:color="auto"/>
        <w:bottom w:val="none" w:sz="0" w:space="0" w:color="auto"/>
        <w:right w:val="none" w:sz="0" w:space="0" w:color="auto"/>
      </w:divBdr>
    </w:div>
    <w:div w:id="1249999528">
      <w:bodyDiv w:val="1"/>
      <w:marLeft w:val="0"/>
      <w:marRight w:val="0"/>
      <w:marTop w:val="0"/>
      <w:marBottom w:val="0"/>
      <w:divBdr>
        <w:top w:val="none" w:sz="0" w:space="0" w:color="auto"/>
        <w:left w:val="none" w:sz="0" w:space="0" w:color="auto"/>
        <w:bottom w:val="none" w:sz="0" w:space="0" w:color="auto"/>
        <w:right w:val="none" w:sz="0" w:space="0" w:color="auto"/>
      </w:divBdr>
    </w:div>
    <w:div w:id="1848012909">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yperlink" Target="http://www.resnet.us/blog/resnet-consensus-standards/"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2.emf"/></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aurel\Documents\RESNET\New%20RESNET%20Logo\RESNET_Letterhead_temp_Final.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F901C6-59FA-4E02-BF3A-7AB173CC24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RESNET_Letterhead_temp_Final</Template>
  <TotalTime>1</TotalTime>
  <Pages>2</Pages>
  <Words>564</Words>
  <Characters>3215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Fourth Demension</Company>
  <LinksUpToDate>false</LinksUpToDate>
  <CharactersWithSpaces>3772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Laurel</dc:creator>
  <cp:lastModifiedBy>Richard Dixon</cp:lastModifiedBy>
  <cp:revision>2</cp:revision>
  <cp:lastPrinted>2012-05-15T20:51:00Z</cp:lastPrinted>
  <dcterms:created xsi:type="dcterms:W3CDTF">2019-04-09T13:32:00Z</dcterms:created>
  <dcterms:modified xsi:type="dcterms:W3CDTF">2019-04-09T13:32:00Z</dcterms:modified>
</cp:coreProperties>
</file>